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203"/>
        <w:gridCol w:w="1163"/>
        <w:gridCol w:w="1163"/>
        <w:gridCol w:w="1163"/>
        <w:gridCol w:w="1190"/>
        <w:gridCol w:w="847"/>
        <w:gridCol w:w="1072"/>
      </w:tblGrid>
      <w:tr w:rsidR="000856FB" w:rsidRPr="000856FB" w:rsidTr="000856FB">
        <w:trPr>
          <w:trHeight w:val="288"/>
          <w:tblHeader/>
        </w:trPr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1849" w:type="pct"/>
            <w:vMerge w:val="restar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ფაქტი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  <w:tc>
          <w:tcPr>
            <w:tcW w:w="1826" w:type="pct"/>
            <w:gridSpan w:val="4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 წლის პროექტი</w:t>
            </w:r>
          </w:p>
        </w:tc>
      </w:tr>
      <w:tr w:rsidR="000856FB" w:rsidRPr="000856FB" w:rsidTr="000856FB">
        <w:trPr>
          <w:trHeight w:val="288"/>
          <w:tblHeader/>
        </w:trPr>
        <w:tc>
          <w:tcPr>
            <w:tcW w:w="411" w:type="pct"/>
            <w:vMerge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9" w:type="pct"/>
            <w:vMerge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19,678,671.0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21,880,117.1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19,991,247.1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1,844,320.0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14,197,869.5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15,122,926.8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16,335,194.2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16,153,602.2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143,802.0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1,834,733.9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2,236,660.8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2,236,030.8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2,544,195.3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3,212,136.2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3,881,309.9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2,619,131.9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1,255,418.0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323,172.0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2,742,265.6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31,705.2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45,376.7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44,712.9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24,601.6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15,084.1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32,523.3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82,961.9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80,247.1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12,702.1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10,854.5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68,217.6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69,720.5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67,121.3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50,362.7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138,336.7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127,972.0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113,709.4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108,642.8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78,329.9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9,163.4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41,347.7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28,860.1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88,847.6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79,070.7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23,544.1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20,966.8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621,101.1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932,404.9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558,180.0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367,180.0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498,655.8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832,173.9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425,826.0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359,476.0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19,060.8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63,987.3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305,206.3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150,328.8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150,226.4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151,538.4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151,538.4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66,699.4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56,205.5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30,210.8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9,383.5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60,881.5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25,530.8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2,513,545.3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2,975,005.0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3,330,920.0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1,360,920.0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479,501.0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11,475.0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1,966,868.6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2,539,860.0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1,139,845.0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1,614,137.3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1,852,920.0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943,225.0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951,120.0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163,600.4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1,450,536.9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783,355.0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944,195.0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628,474.4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492,982.3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977,864.6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343,080.0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898,420.0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957,473.9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1,164,950.0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892,395.0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339,458.6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326,499.9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329,713.3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183,100.0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263,483.8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320,568.4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288,664.3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254,456.4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333,584.0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79,606.9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49,316.0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119,015.8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156,737.4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137,187.2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129,054.7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129,054.7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8,132.4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19,550.2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6,466,346.4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6,237,554.4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6,858,420.0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6,808,420.0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6,385,329.5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6,129,585.4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6,536,228.0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6,533,528.0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45,521.1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49,669.4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107,969.0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274,892.0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82,992.8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72,710.4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80,838.5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71,314.4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43,068.7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44,884.4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29,991.8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12,796.8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3,871,692.3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3,871,426.6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2,574,783.2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2,574,783.2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908,351.1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38,483.4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38,483.4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72,073.7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72,073.7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2,371,999.7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1,826,204.1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1,454,097.0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1,451,747.0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2,348,470.8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1,814,854.1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1,437,442.0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1,435,142.0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800,330.6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796,284.3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41,194.3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25,593.7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12,782.8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883,059.1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463,827.0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461,477.0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1,428,255.6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457,522.0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455,222.0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19,144.4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49,247.9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49,247.9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127,567.0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120,678.7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73,285.4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1,131,278.3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1,119,022.3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68,759.3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31,292.4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37,466.8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47,271.7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43,584.5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36,863.2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169,213.5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168,819.7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168,383.7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167,994.2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161,682.6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161,298.7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983,737.4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735,964.4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431,521.3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370,373.7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370,013.2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336,605.2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55,537.4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69,867.1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83,090.3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82,662.1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20,852.4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20,852.4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36,672.7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32,766.1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118,404.1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110,289.5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176,094.2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788,905.7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744,681.9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526,543.6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44,223.8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581,318.5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542,691.3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386,531.0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97,734.1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69,713.3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6,068.5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88,436.6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84,738.2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57,354.3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665,379.8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743,071.4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698,480.0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615,060.4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703,981.4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644,939.0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605,149.0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48,934.9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56,502.4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62,968.0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53,541.0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51,531.0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15,018.2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30,634.9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155,213.6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154,830.8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296,033.9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346,420.0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277,445.5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14,429.3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136,197.5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9,980.8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9,980.8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39,100.2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39,100.2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 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20,146.4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სოფლის მეურნეობის მოდერნიზაციის, ბაზარზე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წვდომისა და მდგრადობის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535.2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ლიდერ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80,278.1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29,553.1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16,035.5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2,326.7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1,526,921.4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1,684,835.9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2,030,780.7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1,986,580.7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1,458,176.2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1,572,292.9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1,760,153.7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1,734,403.7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252,177.0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37,353.2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11,642.1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1,069,899.8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1,068,509.3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882,039.0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15,857.9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28,975.3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82,120.7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82,120.7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14,162.6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56,917.3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153,323.8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150,145.5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13,729.2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117,235.3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117,235.3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65,315.1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33,735.4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26,515.4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76,211.7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40,974.8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35,201.1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12,667.8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16,982.3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8,241.1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359,246.7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400,802.8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331,999.6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356,228.8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62,739.8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24,049.2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60,126.1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47,870.6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71,914.1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82,702.0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64,422.5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77,536.0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34,862.2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28,513.9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137,047.5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137,041.9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34,691.3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7,349.2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61,358.6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52,365.7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49,488.3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69,585.3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69,356.3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– წმინდა გიორგი მთაწმინდელის მონასტერთან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არსებული სარეაბილიტაციო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10,781.7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4,582,476.3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1,725,619.0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2,717,948.0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2,936,811.8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283,663.9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2,653,147.9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546,593.7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506,593.7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634,287.0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624,287.0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საერთაშორისო ხელშეკრულებებიდან გამომდინარე საოპერაციო ხარჯებისა და სხვა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ვალდებულებების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724.1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0856FB" w:rsidRPr="000856FB" w:rsidTr="000856FB">
        <w:trPr>
          <w:trHeight w:val="288"/>
        </w:trPr>
        <w:tc>
          <w:tcPr>
            <w:tcW w:w="411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0856FB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51395E" w:rsidRDefault="0051395E">
      <w:bookmarkStart w:id="0" w:name="_GoBack"/>
      <w:bookmarkEnd w:id="0"/>
    </w:p>
    <w:p w:rsidR="00230F5D" w:rsidRDefault="00230F5D"/>
    <w:p w:rsidR="00230F5D" w:rsidRDefault="00230F5D"/>
    <w:p w:rsidR="00230F5D" w:rsidRDefault="00230F5D"/>
    <w:p w:rsidR="00735744" w:rsidRDefault="00735744"/>
    <w:p w:rsidR="00735744" w:rsidRDefault="00735744"/>
    <w:p w:rsidR="00BE2739" w:rsidRDefault="00BE2739"/>
    <w:p w:rsidR="00E957D2" w:rsidRDefault="00E957D2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A2448A" w:rsidRDefault="00A2448A" w:rsidP="00C7717B"/>
    <w:sectPr w:rsidR="00A2448A" w:rsidSect="00724B68">
      <w:footerReference w:type="default" r:id="rId6"/>
      <w:pgSz w:w="11906" w:h="16838" w:code="9"/>
      <w:pgMar w:top="450" w:right="707" w:bottom="1440" w:left="709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E2" w:rsidRDefault="00781FE2" w:rsidP="00C7717B">
      <w:pPr>
        <w:spacing w:after="0" w:line="240" w:lineRule="auto"/>
      </w:pPr>
      <w:r>
        <w:separator/>
      </w:r>
    </w:p>
  </w:endnote>
  <w:endnote w:type="continuationSeparator" w:id="0">
    <w:p w:rsidR="00781FE2" w:rsidRDefault="00781FE2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35D" w:rsidRDefault="001C2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6FB">
          <w:rPr>
            <w:noProof/>
          </w:rPr>
          <w:t>207</w:t>
        </w:r>
        <w:r>
          <w:rPr>
            <w:noProof/>
          </w:rPr>
          <w:fldChar w:fldCharType="end"/>
        </w:r>
      </w:p>
    </w:sdtContent>
  </w:sdt>
  <w:p w:rsidR="001C235D" w:rsidRDefault="001C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E2" w:rsidRDefault="00781FE2" w:rsidP="00C7717B">
      <w:pPr>
        <w:spacing w:after="0" w:line="240" w:lineRule="auto"/>
      </w:pPr>
      <w:r>
        <w:separator/>
      </w:r>
    </w:p>
  </w:footnote>
  <w:footnote w:type="continuationSeparator" w:id="0">
    <w:p w:rsidR="00781FE2" w:rsidRDefault="00781FE2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0153BB"/>
    <w:rsid w:val="000856FB"/>
    <w:rsid w:val="000F5094"/>
    <w:rsid w:val="001165C5"/>
    <w:rsid w:val="00195BFB"/>
    <w:rsid w:val="001C00B8"/>
    <w:rsid w:val="001C235D"/>
    <w:rsid w:val="001E1243"/>
    <w:rsid w:val="00230F5D"/>
    <w:rsid w:val="00275B0D"/>
    <w:rsid w:val="003314B9"/>
    <w:rsid w:val="003773D8"/>
    <w:rsid w:val="00442A3F"/>
    <w:rsid w:val="0044398A"/>
    <w:rsid w:val="0051395E"/>
    <w:rsid w:val="00536147"/>
    <w:rsid w:val="005B457D"/>
    <w:rsid w:val="005D56E8"/>
    <w:rsid w:val="005E278D"/>
    <w:rsid w:val="00673A72"/>
    <w:rsid w:val="006C27E1"/>
    <w:rsid w:val="006D3FD6"/>
    <w:rsid w:val="006F2AD5"/>
    <w:rsid w:val="007146F2"/>
    <w:rsid w:val="00724B68"/>
    <w:rsid w:val="00732F6E"/>
    <w:rsid w:val="00734685"/>
    <w:rsid w:val="00735744"/>
    <w:rsid w:val="00767F6D"/>
    <w:rsid w:val="00781FE2"/>
    <w:rsid w:val="00783F3F"/>
    <w:rsid w:val="007B52F7"/>
    <w:rsid w:val="007C7393"/>
    <w:rsid w:val="00894F4A"/>
    <w:rsid w:val="008B526C"/>
    <w:rsid w:val="008D23FF"/>
    <w:rsid w:val="00910280"/>
    <w:rsid w:val="009E4276"/>
    <w:rsid w:val="00A0012F"/>
    <w:rsid w:val="00A2448A"/>
    <w:rsid w:val="00AE515E"/>
    <w:rsid w:val="00B06817"/>
    <w:rsid w:val="00B35909"/>
    <w:rsid w:val="00BB4EDF"/>
    <w:rsid w:val="00BE2739"/>
    <w:rsid w:val="00BF1891"/>
    <w:rsid w:val="00C27262"/>
    <w:rsid w:val="00C57FB3"/>
    <w:rsid w:val="00C7717B"/>
    <w:rsid w:val="00C83973"/>
    <w:rsid w:val="00C840FB"/>
    <w:rsid w:val="00CA21B9"/>
    <w:rsid w:val="00CA2EED"/>
    <w:rsid w:val="00CE05F1"/>
    <w:rsid w:val="00D42078"/>
    <w:rsid w:val="00D5136F"/>
    <w:rsid w:val="00DA4954"/>
    <w:rsid w:val="00DC24AB"/>
    <w:rsid w:val="00E21FBE"/>
    <w:rsid w:val="00E928C4"/>
    <w:rsid w:val="00E957D2"/>
    <w:rsid w:val="00EA1AD6"/>
    <w:rsid w:val="00F4127C"/>
    <w:rsid w:val="00F635B2"/>
    <w:rsid w:val="00F809F2"/>
    <w:rsid w:val="00F95B2D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927E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1395E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1">
    <w:name w:val="xl91"/>
    <w:basedOn w:val="Normal"/>
    <w:rsid w:val="0051395E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3">
    <w:name w:val="xl93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1395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51395E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395E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51395E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51395E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05">
    <w:name w:val="xl105"/>
    <w:basedOn w:val="Normal"/>
    <w:rsid w:val="00C57FB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6">
    <w:name w:val="xl106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7">
    <w:name w:val="xl107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8">
    <w:name w:val="xl108"/>
    <w:basedOn w:val="Normal"/>
    <w:rsid w:val="00C57F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9">
    <w:name w:val="xl109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10">
    <w:name w:val="xl110"/>
    <w:basedOn w:val="Normal"/>
    <w:rsid w:val="000856FB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1">
    <w:name w:val="xl111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12">
    <w:name w:val="xl112"/>
    <w:basedOn w:val="Normal"/>
    <w:rsid w:val="000856FB"/>
    <w:pPr>
      <w:pBdr>
        <w:top w:val="double" w:sz="6" w:space="0" w:color="D3D3D3"/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3">
    <w:name w:val="xl113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14654</Words>
  <Characters>83529</Characters>
  <Application>Microsoft Office Word</Application>
  <DocSecurity>0</DocSecurity>
  <Lines>696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2022-11-04T08:46:00Z</cp:lastPrinted>
  <dcterms:created xsi:type="dcterms:W3CDTF">2022-11-28T12:49:00Z</dcterms:created>
  <dcterms:modified xsi:type="dcterms:W3CDTF">2022-11-30T10:20:00Z</dcterms:modified>
</cp:coreProperties>
</file>